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1815" w14:textId="77519122" w:rsidR="00217C5C" w:rsidRPr="000C5D9A" w:rsidRDefault="00217C5C" w:rsidP="004D1DB6">
      <w:pPr>
        <w:rPr>
          <w:rFonts w:ascii="Trebuchet MS" w:hAnsi="Trebuchet MS"/>
          <w:b/>
          <w:bCs/>
          <w:sz w:val="28"/>
          <w:szCs w:val="28"/>
          <w:lang w:val="ro-RO"/>
        </w:rPr>
      </w:pPr>
      <w:r w:rsidRPr="000C5D9A">
        <w:rPr>
          <w:rFonts w:ascii="Trebuchet MS" w:hAnsi="Trebuchet MS"/>
          <w:b/>
          <w:bCs/>
          <w:sz w:val="28"/>
          <w:szCs w:val="28"/>
          <w:lang w:val="ro-RO"/>
        </w:rPr>
        <w:t>BNS: Statul a colectat anul trecut din contribuțiile salariaților aproape dublu decât a încasat din TVA și de 6 ori mai mult decât din impozitul pe profit</w:t>
      </w:r>
    </w:p>
    <w:p w14:paraId="606E436F" w14:textId="457AB6F8" w:rsidR="00217C5C" w:rsidRPr="000C5D9A" w:rsidRDefault="00217C5C" w:rsidP="004D1DB6">
      <w:pPr>
        <w:rPr>
          <w:rFonts w:ascii="Trebuchet MS" w:hAnsi="Trebuchet MS"/>
          <w:b/>
          <w:bCs/>
          <w:sz w:val="28"/>
          <w:szCs w:val="28"/>
          <w:lang w:val="ro-RO"/>
        </w:rPr>
      </w:pPr>
      <w:r w:rsidRPr="000C5D9A">
        <w:rPr>
          <w:rFonts w:ascii="Trebuchet MS" w:hAnsi="Trebuchet MS"/>
          <w:b/>
          <w:bCs/>
          <w:sz w:val="28"/>
          <w:szCs w:val="28"/>
          <w:lang w:val="ro-RO"/>
        </w:rPr>
        <w:t>BNS, apel către Guvern: reduceți urgent impozitarea muncii</w:t>
      </w:r>
    </w:p>
    <w:p w14:paraId="00CF303F" w14:textId="565508A0" w:rsidR="005F4752" w:rsidRPr="000C5D9A" w:rsidRDefault="005F4752" w:rsidP="004D1DB6">
      <w:pPr>
        <w:rPr>
          <w:rFonts w:ascii="Trebuchet MS" w:hAnsi="Trebuchet MS"/>
          <w:b/>
          <w:bCs/>
          <w:sz w:val="28"/>
          <w:szCs w:val="28"/>
          <w:lang w:val="ro-RO"/>
        </w:rPr>
      </w:pPr>
      <w:r w:rsidRPr="000C5D9A">
        <w:rPr>
          <w:rFonts w:ascii="Trebuchet MS" w:hAnsi="Trebuchet MS"/>
          <w:b/>
          <w:bCs/>
          <w:sz w:val="28"/>
          <w:szCs w:val="28"/>
          <w:lang w:val="ro-RO"/>
        </w:rPr>
        <w:t>BNS: Fiscalitatea muncii este excesivă în România</w:t>
      </w:r>
    </w:p>
    <w:p w14:paraId="06DA9A07" w14:textId="77777777" w:rsidR="00217C5C" w:rsidRPr="00217C5C" w:rsidRDefault="00217C5C" w:rsidP="00217C5C">
      <w:pPr>
        <w:jc w:val="both"/>
        <w:rPr>
          <w:lang w:val="ro-RO"/>
        </w:rPr>
      </w:pPr>
    </w:p>
    <w:p w14:paraId="653D9FF3" w14:textId="5158917E" w:rsidR="00217C5C" w:rsidRPr="005F4752" w:rsidRDefault="00217C5C" w:rsidP="00217C5C">
      <w:pPr>
        <w:ind w:firstLine="708"/>
        <w:jc w:val="both"/>
        <w:rPr>
          <w:rFonts w:ascii="Trebuchet MS" w:hAnsi="Trebuchet MS"/>
          <w:b/>
          <w:bCs/>
          <w:lang w:val="ro-RO"/>
        </w:rPr>
      </w:pPr>
      <w:r w:rsidRPr="005F4752">
        <w:rPr>
          <w:rFonts w:ascii="Trebuchet MS" w:hAnsi="Trebuchet MS"/>
          <w:b/>
          <w:bCs/>
          <w:lang w:val="ro-RO"/>
        </w:rPr>
        <w:t>Blocul Național Sindical, cea mai activă confederație sindicală din România, lansează un apel public către Guvernul României pentru a reduce impozitarea pe muncă. Un studiu realizat de Departamentul Cercetare din cadrul BNS arată că nivelul contribuțiilor sociale din România transformă fiscalitatea muncii într-una excesivă. Ponderea lor față de veniturile din taxe este mult mai mare decât în statele Organizației pentru Cooperare Economică și Dezvoltare (OECD).</w:t>
      </w:r>
    </w:p>
    <w:p w14:paraId="082E11E9" w14:textId="77777777" w:rsidR="00217C5C" w:rsidRPr="005F4752" w:rsidRDefault="00217C5C" w:rsidP="00217C5C">
      <w:pPr>
        <w:jc w:val="both"/>
        <w:rPr>
          <w:rFonts w:ascii="Trebuchet MS" w:hAnsi="Trebuchet MS"/>
          <w:lang w:val="ro-RO"/>
        </w:rPr>
      </w:pPr>
      <w:r w:rsidRPr="005F4752">
        <w:rPr>
          <w:rFonts w:ascii="Trebuchet MS" w:hAnsi="Trebuchet MS"/>
          <w:lang w:val="ro-RO"/>
        </w:rPr>
        <w:t>Datele centralizate la nivelul OECD arată că România se află pe poziția 6 din 37 de economii studiate ca dimensiune a încasărilor din contribuții sociale față de veniturile fiscale. În România, contribuțiile reprezintă 37,5% raportat la toate încasările din venituri fiscale.</w:t>
      </w:r>
    </w:p>
    <w:p w14:paraId="6A71C8F2" w14:textId="77777777" w:rsidR="00217C5C" w:rsidRPr="005F4752" w:rsidRDefault="00217C5C" w:rsidP="00217C5C">
      <w:pPr>
        <w:jc w:val="center"/>
        <w:rPr>
          <w:rFonts w:ascii="Trebuchet MS" w:hAnsi="Trebuchet MS"/>
          <w:lang w:val="ro-RO"/>
        </w:rPr>
      </w:pPr>
      <w:r w:rsidRPr="005F4752">
        <w:rPr>
          <w:rFonts w:ascii="Trebuchet MS" w:hAnsi="Trebuchet MS"/>
          <w:noProof/>
        </w:rPr>
        <w:drawing>
          <wp:inline distT="0" distB="0" distL="0" distR="0" wp14:anchorId="10D96CE2" wp14:editId="0032D779">
            <wp:extent cx="4721013" cy="2441902"/>
            <wp:effectExtent l="0" t="0" r="3810" b="0"/>
            <wp:docPr id="924193611" name="Picture 1" descr="A graph of a graph showing the value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93611" name="Picture 1" descr="A graph of a graph showing the value of a company&#10;&#10;Description automatically generated with medium confidence"/>
                    <pic:cNvPicPr/>
                  </pic:nvPicPr>
                  <pic:blipFill>
                    <a:blip r:embed="rId8"/>
                    <a:stretch>
                      <a:fillRect/>
                    </a:stretch>
                  </pic:blipFill>
                  <pic:spPr>
                    <a:xfrm>
                      <a:off x="0" y="0"/>
                      <a:ext cx="4843908" cy="2505469"/>
                    </a:xfrm>
                    <a:prstGeom prst="rect">
                      <a:avLst/>
                    </a:prstGeom>
                  </pic:spPr>
                </pic:pic>
              </a:graphicData>
            </a:graphic>
          </wp:inline>
        </w:drawing>
      </w:r>
    </w:p>
    <w:p w14:paraId="2A36D9B0" w14:textId="77777777" w:rsidR="00217C5C" w:rsidRPr="005F4752" w:rsidRDefault="00217C5C" w:rsidP="00217C5C">
      <w:pPr>
        <w:jc w:val="both"/>
        <w:rPr>
          <w:rFonts w:ascii="Trebuchet MS" w:hAnsi="Trebuchet MS"/>
          <w:lang w:val="ro-RO"/>
        </w:rPr>
      </w:pPr>
      <w:r w:rsidRPr="005F4752">
        <w:rPr>
          <w:rFonts w:ascii="Trebuchet MS" w:hAnsi="Trebuchet MS"/>
          <w:lang w:val="ro-RO"/>
        </w:rPr>
        <w:t xml:space="preserve">Raportat la veniturile din taxe din România, contribuțiile reprezintă astfel 37,5% din acestea în timp ce media statelor OECD/aspirante OECD este de 24,3%. </w:t>
      </w:r>
    </w:p>
    <w:p w14:paraId="1549EC63" w14:textId="77777777" w:rsidR="00217C5C" w:rsidRPr="005F4752" w:rsidRDefault="00217C5C" w:rsidP="00217C5C">
      <w:pPr>
        <w:jc w:val="both"/>
        <w:rPr>
          <w:rFonts w:ascii="Trebuchet MS" w:hAnsi="Trebuchet MS"/>
          <w:lang w:val="ro-RO"/>
        </w:rPr>
      </w:pPr>
      <w:r w:rsidRPr="005F4752">
        <w:rPr>
          <w:rFonts w:ascii="Trebuchet MS" w:hAnsi="Trebuchet MS"/>
          <w:noProof/>
        </w:rPr>
        <w:lastRenderedPageBreak/>
        <w:drawing>
          <wp:inline distT="0" distB="0" distL="0" distR="0" wp14:anchorId="3980E75E" wp14:editId="2138D3A6">
            <wp:extent cx="5562600" cy="2514600"/>
            <wp:effectExtent l="0" t="0" r="0" b="0"/>
            <wp:docPr id="718378629" name="Picture 1" descr="A graph of a growing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78629" name="Picture 1" descr="A graph of a growing graph&#10;&#10;Description automatically generated with medium confidence"/>
                    <pic:cNvPicPr/>
                  </pic:nvPicPr>
                  <pic:blipFill>
                    <a:blip r:embed="rId9"/>
                    <a:stretch>
                      <a:fillRect/>
                    </a:stretch>
                  </pic:blipFill>
                  <pic:spPr>
                    <a:xfrm>
                      <a:off x="0" y="0"/>
                      <a:ext cx="5562600" cy="2514600"/>
                    </a:xfrm>
                    <a:prstGeom prst="rect">
                      <a:avLst/>
                    </a:prstGeom>
                  </pic:spPr>
                </pic:pic>
              </a:graphicData>
            </a:graphic>
          </wp:inline>
        </w:drawing>
      </w:r>
    </w:p>
    <w:p w14:paraId="4FFE5553" w14:textId="77777777" w:rsidR="00217C5C" w:rsidRPr="005F4752" w:rsidRDefault="00217C5C" w:rsidP="00217C5C">
      <w:pPr>
        <w:jc w:val="both"/>
        <w:rPr>
          <w:rFonts w:ascii="Trebuchet MS" w:hAnsi="Trebuchet MS"/>
          <w:lang w:val="ro-RO"/>
        </w:rPr>
      </w:pPr>
    </w:p>
    <w:p w14:paraId="6B1C364E" w14:textId="77777777" w:rsidR="00217C5C" w:rsidRPr="005F4752" w:rsidRDefault="00217C5C" w:rsidP="00217C5C">
      <w:pPr>
        <w:ind w:firstLine="360"/>
        <w:jc w:val="both"/>
        <w:rPr>
          <w:rFonts w:ascii="Trebuchet MS" w:hAnsi="Trebuchet MS"/>
          <w:lang w:val="ro-RO"/>
        </w:rPr>
      </w:pPr>
      <w:r w:rsidRPr="005F4752">
        <w:rPr>
          <w:rFonts w:ascii="Trebuchet MS" w:hAnsi="Trebuchet MS"/>
          <w:lang w:val="ro-RO"/>
        </w:rPr>
        <w:t>Structura disproporționată a nivelului contribuțiilor raportat la încasările efective din impozite și taxe este relevată și de tabloul încasărilor din taxe versus contribuții sociale.</w:t>
      </w:r>
    </w:p>
    <w:p w14:paraId="345C306B" w14:textId="77777777" w:rsidR="00217C5C" w:rsidRPr="005F4752" w:rsidRDefault="00217C5C" w:rsidP="00217C5C">
      <w:pPr>
        <w:ind w:firstLine="360"/>
        <w:jc w:val="both"/>
        <w:rPr>
          <w:rFonts w:ascii="Trebuchet MS" w:hAnsi="Trebuchet MS"/>
          <w:lang w:val="ro-RO"/>
        </w:rPr>
      </w:pPr>
      <w:r w:rsidRPr="005F4752">
        <w:rPr>
          <w:rFonts w:ascii="Trebuchet MS" w:hAnsi="Trebuchet MS"/>
          <w:lang w:val="ro-RO"/>
        </w:rPr>
        <w:t>Astfel, la nivelul anului 2023, încasările din contribuții aplicate pe venitul salariaților au reprezentat:</w:t>
      </w:r>
    </w:p>
    <w:p w14:paraId="4FBA49DE" w14:textId="77777777" w:rsidR="00217C5C" w:rsidRPr="005F4752" w:rsidRDefault="00217C5C" w:rsidP="00217C5C">
      <w:pPr>
        <w:pStyle w:val="Listparagraf"/>
        <w:numPr>
          <w:ilvl w:val="0"/>
          <w:numId w:val="1"/>
        </w:numPr>
        <w:jc w:val="both"/>
        <w:rPr>
          <w:rFonts w:ascii="Trebuchet MS" w:hAnsi="Trebuchet MS"/>
          <w:lang w:val="ro-RO"/>
        </w:rPr>
      </w:pPr>
      <w:r w:rsidRPr="005F4752">
        <w:rPr>
          <w:rFonts w:ascii="Trebuchet MS" w:hAnsi="Trebuchet MS"/>
          <w:lang w:val="ro-RO"/>
        </w:rPr>
        <w:t>de 4 ori suma totală a încasărilor din impozite pe salarii și pe venit;</w:t>
      </w:r>
    </w:p>
    <w:p w14:paraId="38B0B10D" w14:textId="77777777" w:rsidR="00217C5C" w:rsidRPr="005F4752" w:rsidRDefault="00217C5C" w:rsidP="00217C5C">
      <w:pPr>
        <w:pStyle w:val="Listparagraf"/>
        <w:numPr>
          <w:ilvl w:val="0"/>
          <w:numId w:val="1"/>
        </w:numPr>
        <w:jc w:val="both"/>
        <w:rPr>
          <w:rFonts w:ascii="Trebuchet MS" w:hAnsi="Trebuchet MS"/>
          <w:lang w:val="ro-RO"/>
        </w:rPr>
      </w:pPr>
      <w:r w:rsidRPr="005F4752">
        <w:rPr>
          <w:rFonts w:ascii="Trebuchet MS" w:hAnsi="Trebuchet MS"/>
          <w:lang w:val="ro-RO"/>
        </w:rPr>
        <w:t>de 5,5 ori mai mult decât toate încasările din impozitul pe profit;</w:t>
      </w:r>
    </w:p>
    <w:p w14:paraId="6D850CAC" w14:textId="77777777" w:rsidR="00217C5C" w:rsidRPr="005F4752" w:rsidRDefault="00217C5C" w:rsidP="00217C5C">
      <w:pPr>
        <w:pStyle w:val="Listparagraf"/>
        <w:numPr>
          <w:ilvl w:val="0"/>
          <w:numId w:val="1"/>
        </w:numPr>
        <w:jc w:val="both"/>
        <w:rPr>
          <w:rFonts w:ascii="Trebuchet MS" w:hAnsi="Trebuchet MS"/>
          <w:lang w:val="ro-RO"/>
        </w:rPr>
      </w:pPr>
      <w:r w:rsidRPr="005F4752">
        <w:rPr>
          <w:rFonts w:ascii="Trebuchet MS" w:hAnsi="Trebuchet MS"/>
          <w:lang w:val="ro-RO"/>
        </w:rPr>
        <w:t>de 1,5 ori mai mult decât suma încasărilor totale din TVA</w:t>
      </w:r>
    </w:p>
    <w:p w14:paraId="2444113B" w14:textId="77777777" w:rsidR="00217C5C" w:rsidRPr="005F4752" w:rsidRDefault="00217C5C" w:rsidP="00217C5C">
      <w:pPr>
        <w:ind w:firstLine="360"/>
        <w:jc w:val="both"/>
        <w:rPr>
          <w:rFonts w:ascii="Trebuchet MS" w:hAnsi="Trebuchet MS"/>
          <w:lang w:val="ro-RO"/>
        </w:rPr>
      </w:pPr>
      <w:r w:rsidRPr="005F4752">
        <w:rPr>
          <w:rFonts w:ascii="Trebuchet MS" w:hAnsi="Trebuchet MS"/>
          <w:lang w:val="ro-RO"/>
        </w:rPr>
        <w:t>Situația este o problema structurală, datele din 2023 prezentate mai sus confirmând structura deficitară a veniturilor din perioada 2018-2022. Anul 2018 reprezintă momentul în care contribuțiile obligatorii au fost trecute în sarcina angajaților (anterior fiind distribuite între angajator și angajați).</w:t>
      </w:r>
    </w:p>
    <w:p w14:paraId="6255C9E4" w14:textId="77777777" w:rsidR="00217C5C" w:rsidRPr="005F4752" w:rsidRDefault="00217C5C" w:rsidP="00217C5C">
      <w:pPr>
        <w:jc w:val="center"/>
        <w:rPr>
          <w:rFonts w:ascii="Trebuchet MS" w:hAnsi="Trebuchet MS"/>
          <w:lang w:val="ro-RO"/>
        </w:rPr>
      </w:pPr>
      <w:r w:rsidRPr="005F4752">
        <w:rPr>
          <w:rFonts w:ascii="Trebuchet MS" w:eastAsia="Times New Roman" w:hAnsi="Trebuchet MS" w:cs="Times New Roman"/>
          <w:b/>
          <w:i/>
          <w:noProof/>
          <w:lang w:val="ro-RO" w:eastAsia="en-GB"/>
        </w:rPr>
        <w:drawing>
          <wp:inline distT="0" distB="0" distL="0" distR="0" wp14:anchorId="1C1C48A5" wp14:editId="041BA468">
            <wp:extent cx="3980866" cy="2461260"/>
            <wp:effectExtent l="0" t="0" r="635" b="0"/>
            <wp:docPr id="794918724" name="Picture 79491872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18724" name="Picture 794918724" descr="A graph of different colored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7597" cy="2490152"/>
                    </a:xfrm>
                    <a:prstGeom prst="rect">
                      <a:avLst/>
                    </a:prstGeom>
                    <a:noFill/>
                  </pic:spPr>
                </pic:pic>
              </a:graphicData>
            </a:graphic>
          </wp:inline>
        </w:drawing>
      </w:r>
    </w:p>
    <w:p w14:paraId="79C33D92" w14:textId="5EEA5C98" w:rsidR="00217C5C" w:rsidRPr="005F4752" w:rsidRDefault="00217C5C" w:rsidP="00217C5C">
      <w:pPr>
        <w:ind w:firstLine="708"/>
        <w:jc w:val="both"/>
        <w:rPr>
          <w:rFonts w:ascii="Trebuchet MS" w:hAnsi="Trebuchet MS"/>
          <w:b/>
          <w:bCs/>
          <w:lang w:val="ro-RO"/>
        </w:rPr>
      </w:pPr>
      <w:r w:rsidRPr="005F4752">
        <w:rPr>
          <w:rFonts w:ascii="Trebuchet MS" w:hAnsi="Trebuchet MS"/>
          <w:lang w:val="ro-RO"/>
        </w:rPr>
        <w:lastRenderedPageBreak/>
        <w:t>În contextul menținerii astfel a unui nivel excesiv al contribuțiilor pentru veniturile din muncă, ideea că România are o fiscalitate redusă (prin prisma cotei de 10% de impozitare a veniturilor) este iluzorie. Veniturile nete din muncă sunt inferioare unor state care au cote superioare de impozitare a veniturilor (precum Polonia, care are cote de 0%, 12% și 32%). Pentru același brut ca în România, majoritatea angajaților polonezi rămân cu sume nete din salariu substanțial mai mari decât în România.</w:t>
      </w:r>
    </w:p>
    <w:p w14:paraId="521E0BD0" w14:textId="25D6510A" w:rsidR="00217C5C" w:rsidRPr="005F4752" w:rsidRDefault="00217C5C" w:rsidP="00217C5C">
      <w:pPr>
        <w:ind w:firstLine="708"/>
        <w:jc w:val="both"/>
        <w:rPr>
          <w:rFonts w:ascii="Trebuchet MS" w:hAnsi="Trebuchet MS"/>
          <w:lang w:val="ro-RO"/>
        </w:rPr>
      </w:pPr>
      <w:r w:rsidRPr="005F4752">
        <w:rPr>
          <w:rFonts w:ascii="Trebuchet MS" w:hAnsi="Trebuchet MS"/>
          <w:lang w:val="ro-RO"/>
        </w:rPr>
        <w:t xml:space="preserve">Rezultatele arată că impozitarea efectivă a veniturilor din muncă în România conduce la situația în care, față de aceeași sumă a salariului mediu brut pe economie, salariatul român încasează doar în jur de 1.000 de Euro (1.009 Euro), în timp ce același venit brut, dar fiscalizat în Polonia, conduce la un venit net pentru angajatul polonez de </w:t>
      </w:r>
      <w:r w:rsidRPr="005F4752">
        <w:rPr>
          <w:rFonts w:ascii="Trebuchet MS" w:hAnsi="Trebuchet MS"/>
          <w:b/>
          <w:bCs/>
          <w:lang w:val="ro-RO"/>
        </w:rPr>
        <w:t xml:space="preserve">1.246,4 Euro </w:t>
      </w:r>
      <w:r w:rsidRPr="005F4752">
        <w:rPr>
          <w:rFonts w:ascii="Trebuchet MS" w:hAnsi="Trebuchet MS"/>
          <w:lang w:val="ro-RO"/>
        </w:rPr>
        <w:t>(+23,5% față de cazul impozitării în condițiile fiscalității pe muncă din România).</w:t>
      </w:r>
    </w:p>
    <w:p w14:paraId="65B81B7A" w14:textId="603682E9" w:rsidR="00217C5C" w:rsidRPr="005F4752" w:rsidRDefault="005F4752" w:rsidP="005F4752">
      <w:pPr>
        <w:ind w:firstLine="708"/>
        <w:jc w:val="both"/>
        <w:rPr>
          <w:rFonts w:ascii="Trebuchet MS" w:hAnsi="Trebuchet MS"/>
          <w:lang w:val="ro-RO"/>
        </w:rPr>
      </w:pPr>
      <w:r w:rsidRPr="005F4752">
        <w:rPr>
          <w:rFonts w:ascii="Trebuchet MS" w:hAnsi="Trebuchet MS"/>
          <w:lang w:val="ro-RO"/>
        </w:rPr>
        <w:t>Analiza BNS arată că, î</w:t>
      </w:r>
      <w:r w:rsidR="00217C5C" w:rsidRPr="005F4752">
        <w:rPr>
          <w:rFonts w:ascii="Trebuchet MS" w:hAnsi="Trebuchet MS"/>
          <w:lang w:val="ro-RO"/>
        </w:rPr>
        <w:t>n România, reținerile/contribuțiile obligatorii către stat din salariile angajaților au ajuns să reprezinte aproximativ 43% din câștigul salarial mediu brut, doar circa 57% fiind suma netă ce rămâne salariaților.</w:t>
      </w:r>
    </w:p>
    <w:p w14:paraId="63030D41" w14:textId="77777777" w:rsidR="00217C5C" w:rsidRPr="005F4752" w:rsidRDefault="00217C5C" w:rsidP="005F4752">
      <w:pPr>
        <w:ind w:firstLine="708"/>
        <w:jc w:val="both"/>
        <w:rPr>
          <w:rFonts w:ascii="Trebuchet MS" w:hAnsi="Trebuchet MS"/>
          <w:lang w:val="ro-RO"/>
        </w:rPr>
      </w:pPr>
      <w:r w:rsidRPr="005F4752">
        <w:rPr>
          <w:rFonts w:ascii="Trebuchet MS" w:hAnsi="Trebuchet MS"/>
          <w:lang w:val="ro-RO"/>
        </w:rPr>
        <w:t xml:space="preserve">Impozitarea muncii în România se realizează în principal prin impozitul pe venit (cota de 10% aplicată asupra venitului din salarii) și contribuții sociale obligatorii (25% contribuție pentru asigurări sociale și 10% contribuția de asigurări sociale de sănătate – amândouă în sarcina angajatului și 2,25% contribuția </w:t>
      </w:r>
      <w:proofErr w:type="spellStart"/>
      <w:r w:rsidRPr="005F4752">
        <w:rPr>
          <w:rFonts w:ascii="Trebuchet MS" w:hAnsi="Trebuchet MS"/>
          <w:lang w:val="ro-RO"/>
        </w:rPr>
        <w:t>asigurătorie</w:t>
      </w:r>
      <w:proofErr w:type="spellEnd"/>
      <w:r w:rsidRPr="005F4752">
        <w:rPr>
          <w:rFonts w:ascii="Trebuchet MS" w:hAnsi="Trebuchet MS"/>
          <w:lang w:val="ro-RO"/>
        </w:rPr>
        <w:t xml:space="preserve"> pentru muncă – în sarcina angajatorului).</w:t>
      </w:r>
    </w:p>
    <w:p w14:paraId="07207313" w14:textId="5CD8845E" w:rsidR="00217C5C" w:rsidRPr="005F4752" w:rsidRDefault="005F4752" w:rsidP="005F4752">
      <w:pPr>
        <w:ind w:firstLine="708"/>
        <w:jc w:val="both"/>
        <w:rPr>
          <w:rFonts w:ascii="Trebuchet MS" w:hAnsi="Trebuchet MS"/>
          <w:u w:val="single"/>
          <w:lang w:val="ro-RO"/>
        </w:rPr>
      </w:pPr>
      <w:r w:rsidRPr="005F4752">
        <w:rPr>
          <w:rFonts w:ascii="Trebuchet MS" w:hAnsi="Trebuchet MS"/>
          <w:lang w:val="ro-RO"/>
        </w:rPr>
        <w:t>Î</w:t>
      </w:r>
      <w:r w:rsidR="00217C5C" w:rsidRPr="005F4752">
        <w:rPr>
          <w:rFonts w:ascii="Trebuchet MS" w:hAnsi="Trebuchet MS"/>
          <w:lang w:val="ro-RO"/>
        </w:rPr>
        <w:t xml:space="preserve">n contextul dezechilibrelor macroeconomice majore, în special la nivelul deficitului bugetar (estimat de cea mai recentă analiză a agenției de rating S&amp;P la nivelul de 7,3% pentru anul 2024), o eventuală majorare de TVA (ca soluție ad-hoc pentru inversarea pantei agresive de deteriorare a soldului bugetar), ar înrăutăți și mai mult situația fiscalității excesive a veniturilor din România) întrucât alocarea veniturilor din salarii arată că, după acoperirea cheltuielilor de subzistență, cea mai mare parte a veniturilor majorității salariaților din România se îndreaptă spre consum și nu spre economisire, </w:t>
      </w:r>
      <w:r w:rsidR="00217C5C" w:rsidRPr="005F4752">
        <w:rPr>
          <w:rFonts w:ascii="Trebuchet MS" w:hAnsi="Trebuchet MS"/>
          <w:u w:val="single"/>
          <w:lang w:val="ro-RO"/>
        </w:rPr>
        <w:t>din cauza nivelului mic al salariilor din România.</w:t>
      </w:r>
    </w:p>
    <w:p w14:paraId="02EB4811" w14:textId="5D122929" w:rsidR="00217C5C" w:rsidRPr="005F4752" w:rsidRDefault="005F4752" w:rsidP="005F4752">
      <w:pPr>
        <w:ind w:firstLine="708"/>
        <w:jc w:val="both"/>
        <w:rPr>
          <w:rFonts w:ascii="Trebuchet MS" w:hAnsi="Trebuchet MS"/>
          <w:lang w:val="ro-RO"/>
        </w:rPr>
      </w:pPr>
      <w:r w:rsidRPr="005F4752">
        <w:rPr>
          <w:rFonts w:ascii="Trebuchet MS" w:hAnsi="Trebuchet MS"/>
          <w:lang w:val="ro-RO"/>
        </w:rPr>
        <w:t>Analiza BNS arată că majoritate</w:t>
      </w:r>
      <w:r w:rsidR="00217C5C" w:rsidRPr="005F4752">
        <w:rPr>
          <w:rFonts w:ascii="Trebuchet MS" w:hAnsi="Trebuchet MS"/>
          <w:lang w:val="ro-RO"/>
        </w:rPr>
        <w:t>a salariaților din România</w:t>
      </w:r>
      <w:r w:rsidRPr="005F4752">
        <w:rPr>
          <w:rFonts w:ascii="Trebuchet MS" w:hAnsi="Trebuchet MS"/>
          <w:lang w:val="ro-RO"/>
        </w:rPr>
        <w:t>, în jur de 80% din totalul lucrătorilor,</w:t>
      </w:r>
      <w:r w:rsidR="00217C5C" w:rsidRPr="005F4752">
        <w:rPr>
          <w:rFonts w:ascii="Trebuchet MS" w:hAnsi="Trebuchet MS"/>
          <w:lang w:val="ro-RO"/>
        </w:rPr>
        <w:t xml:space="preserve"> </w:t>
      </w:r>
      <w:r w:rsidRPr="005F4752">
        <w:rPr>
          <w:rFonts w:ascii="Trebuchet MS" w:hAnsi="Trebuchet MS"/>
          <w:lang w:val="ro-RO"/>
        </w:rPr>
        <w:t>sunt plătiți</w:t>
      </w:r>
      <w:r w:rsidR="00217C5C" w:rsidRPr="005F4752">
        <w:rPr>
          <w:rFonts w:ascii="Trebuchet MS" w:hAnsi="Trebuchet MS"/>
          <w:lang w:val="ro-RO"/>
        </w:rPr>
        <w:t xml:space="preserve"> sub nivelul câștigului salarial mediu brut pe economie</w:t>
      </w:r>
      <w:r w:rsidRPr="005F4752">
        <w:rPr>
          <w:rFonts w:ascii="Trebuchet MS" w:hAnsi="Trebuchet MS"/>
          <w:lang w:val="ro-RO"/>
        </w:rPr>
        <w:t xml:space="preserve">. În acest context, pentru ei, Blocul Național Sindical cere </w:t>
      </w:r>
      <w:r w:rsidR="00217C5C" w:rsidRPr="005F4752">
        <w:rPr>
          <w:rFonts w:ascii="Trebuchet MS" w:hAnsi="Trebuchet MS"/>
          <w:lang w:val="ro-RO"/>
        </w:rPr>
        <w:t xml:space="preserve">Guvernului </w:t>
      </w:r>
      <w:r w:rsidRPr="005F4752">
        <w:rPr>
          <w:rFonts w:ascii="Trebuchet MS" w:hAnsi="Trebuchet MS"/>
          <w:lang w:val="ro-RO"/>
        </w:rPr>
        <w:t>României să</w:t>
      </w:r>
      <w:r w:rsidR="00217C5C" w:rsidRPr="005F4752">
        <w:rPr>
          <w:rFonts w:ascii="Trebuchet MS" w:hAnsi="Trebuchet MS"/>
          <w:lang w:val="ro-RO"/>
        </w:rPr>
        <w:t xml:space="preserve"> g</w:t>
      </w:r>
      <w:r w:rsidRPr="005F4752">
        <w:rPr>
          <w:rFonts w:ascii="Trebuchet MS" w:hAnsi="Trebuchet MS"/>
          <w:lang w:val="ro-RO"/>
        </w:rPr>
        <w:t>ă</w:t>
      </w:r>
      <w:r w:rsidR="00217C5C" w:rsidRPr="005F4752">
        <w:rPr>
          <w:rFonts w:ascii="Trebuchet MS" w:hAnsi="Trebuchet MS"/>
          <w:lang w:val="ro-RO"/>
        </w:rPr>
        <w:t>seasc</w:t>
      </w:r>
      <w:r w:rsidRPr="005F4752">
        <w:rPr>
          <w:rFonts w:ascii="Trebuchet MS" w:hAnsi="Trebuchet MS"/>
          <w:lang w:val="ro-RO"/>
        </w:rPr>
        <w:t>ă</w:t>
      </w:r>
      <w:r w:rsidR="00217C5C" w:rsidRPr="005F4752">
        <w:rPr>
          <w:rFonts w:ascii="Trebuchet MS" w:hAnsi="Trebuchet MS"/>
          <w:lang w:val="ro-RO"/>
        </w:rPr>
        <w:t xml:space="preserve"> solu</w:t>
      </w:r>
      <w:r w:rsidRPr="005F4752">
        <w:rPr>
          <w:rFonts w:ascii="Trebuchet MS" w:hAnsi="Trebuchet MS"/>
          <w:lang w:val="ro-RO"/>
        </w:rPr>
        <w:t>ț</w:t>
      </w:r>
      <w:r w:rsidR="00217C5C" w:rsidRPr="005F4752">
        <w:rPr>
          <w:rFonts w:ascii="Trebuchet MS" w:hAnsi="Trebuchet MS"/>
          <w:lang w:val="ro-RO"/>
        </w:rPr>
        <w:t xml:space="preserve">ii </w:t>
      </w:r>
      <w:r w:rsidRPr="005F4752">
        <w:rPr>
          <w:rFonts w:ascii="Trebuchet MS" w:hAnsi="Trebuchet MS"/>
          <w:lang w:val="ro-RO"/>
        </w:rPr>
        <w:t xml:space="preserve">urgente </w:t>
      </w:r>
      <w:r w:rsidR="00217C5C" w:rsidRPr="005F4752">
        <w:rPr>
          <w:rFonts w:ascii="Trebuchet MS" w:hAnsi="Trebuchet MS"/>
          <w:lang w:val="ro-RO"/>
        </w:rPr>
        <w:t>de reducere a fiscalit</w:t>
      </w:r>
      <w:r w:rsidRPr="005F4752">
        <w:rPr>
          <w:rFonts w:ascii="Trebuchet MS" w:hAnsi="Trebuchet MS"/>
          <w:lang w:val="ro-RO"/>
        </w:rPr>
        <w:t>ăț</w:t>
      </w:r>
      <w:r w:rsidR="00217C5C" w:rsidRPr="005F4752">
        <w:rPr>
          <w:rFonts w:ascii="Trebuchet MS" w:hAnsi="Trebuchet MS"/>
          <w:lang w:val="ro-RO"/>
        </w:rPr>
        <w:t>ii pe munc</w:t>
      </w:r>
      <w:r w:rsidRPr="005F4752">
        <w:rPr>
          <w:rFonts w:ascii="Trebuchet MS" w:hAnsi="Trebuchet MS"/>
          <w:lang w:val="ro-RO"/>
        </w:rPr>
        <w:t>ă</w:t>
      </w:r>
      <w:r w:rsidR="00217C5C" w:rsidRPr="005F4752">
        <w:rPr>
          <w:rFonts w:ascii="Trebuchet MS" w:hAnsi="Trebuchet MS"/>
          <w:lang w:val="ro-RO"/>
        </w:rPr>
        <w:t>.</w:t>
      </w:r>
    </w:p>
    <w:p w14:paraId="17387571" w14:textId="77777777" w:rsidR="00217C5C" w:rsidRPr="006E6B3C" w:rsidRDefault="00217C5C" w:rsidP="00217C5C">
      <w:pPr>
        <w:jc w:val="both"/>
        <w:rPr>
          <w:u w:val="single"/>
          <w:lang w:val="ro-RO"/>
        </w:rPr>
      </w:pPr>
    </w:p>
    <w:p w14:paraId="6BFE2B8B" w14:textId="77777777" w:rsidR="00217C5C" w:rsidRDefault="00217C5C" w:rsidP="00217C5C">
      <w:pPr>
        <w:jc w:val="both"/>
      </w:pPr>
    </w:p>
    <w:p w14:paraId="2E78DBC8" w14:textId="77777777" w:rsidR="00B431F7" w:rsidRDefault="00B431F7"/>
    <w:sectPr w:rsidR="00B431F7" w:rsidSect="005467AF">
      <w:headerReference w:type="default" r:id="rId11"/>
      <w:footerReference w:type="default" r:id="rId12"/>
      <w:pgSz w:w="11906" w:h="16838"/>
      <w:pgMar w:top="2268" w:right="1418" w:bottom="1418" w:left="141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FA66" w14:textId="77777777" w:rsidR="00375FF0" w:rsidRDefault="00375FF0" w:rsidP="00690ED2">
      <w:pPr>
        <w:spacing w:after="0" w:line="240" w:lineRule="auto"/>
      </w:pPr>
      <w:r>
        <w:separator/>
      </w:r>
    </w:p>
  </w:endnote>
  <w:endnote w:type="continuationSeparator" w:id="0">
    <w:p w14:paraId="65E8454F" w14:textId="77777777" w:rsidR="00375FF0" w:rsidRDefault="00375FF0" w:rsidP="0069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2D23" w14:textId="38EBE192" w:rsidR="00690ED2" w:rsidRDefault="00464567">
    <w:pPr>
      <w:pStyle w:val="Subsol"/>
    </w:pPr>
    <w:r w:rsidRPr="00464567">
      <w:rPr>
        <w:noProof/>
      </w:rPr>
      <w:drawing>
        <wp:anchor distT="0" distB="0" distL="114300" distR="114300" simplePos="0" relativeHeight="251661312" behindDoc="0" locked="0" layoutInCell="1" allowOverlap="1" wp14:anchorId="3126824E" wp14:editId="43833E54">
          <wp:simplePos x="0" y="0"/>
          <wp:positionH relativeFrom="column">
            <wp:posOffset>-679450</wp:posOffset>
          </wp:positionH>
          <wp:positionV relativeFrom="paragraph">
            <wp:posOffset>-203200</wp:posOffset>
          </wp:positionV>
          <wp:extent cx="7199630" cy="474980"/>
          <wp:effectExtent l="0" t="0" r="1270" b="1270"/>
          <wp:wrapNone/>
          <wp:docPr id="1262204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47498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94700" w14:textId="77777777" w:rsidR="00375FF0" w:rsidRDefault="00375FF0" w:rsidP="00690ED2">
      <w:pPr>
        <w:spacing w:after="0" w:line="240" w:lineRule="auto"/>
      </w:pPr>
      <w:r>
        <w:separator/>
      </w:r>
    </w:p>
  </w:footnote>
  <w:footnote w:type="continuationSeparator" w:id="0">
    <w:p w14:paraId="46C09477" w14:textId="77777777" w:rsidR="00375FF0" w:rsidRDefault="00375FF0" w:rsidP="0069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B2D3" w14:textId="5F9E1C15" w:rsidR="00690ED2" w:rsidRDefault="00011C11">
    <w:pPr>
      <w:pStyle w:val="Antet"/>
    </w:pPr>
    <w:r w:rsidRPr="00011C11">
      <w:rPr>
        <w:noProof/>
      </w:rPr>
      <w:drawing>
        <wp:anchor distT="0" distB="0" distL="114300" distR="114300" simplePos="0" relativeHeight="251659263" behindDoc="0" locked="0" layoutInCell="1" allowOverlap="1" wp14:anchorId="45D285E2" wp14:editId="1FD4C11C">
          <wp:simplePos x="0" y="0"/>
          <wp:positionH relativeFrom="column">
            <wp:posOffset>-702310</wp:posOffset>
          </wp:positionH>
          <wp:positionV relativeFrom="paragraph">
            <wp:posOffset>-566420</wp:posOffset>
          </wp:positionV>
          <wp:extent cx="7200000" cy="1105004"/>
          <wp:effectExtent l="0" t="0" r="1270" b="0"/>
          <wp:wrapNone/>
          <wp:docPr id="25680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1050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A7A"/>
    <w:multiLevelType w:val="hybridMultilevel"/>
    <w:tmpl w:val="4E1E6E8A"/>
    <w:lvl w:ilvl="0" w:tplc="44AA83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54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D2"/>
    <w:rsid w:val="00011C11"/>
    <w:rsid w:val="00043769"/>
    <w:rsid w:val="000C5D9A"/>
    <w:rsid w:val="00113AD6"/>
    <w:rsid w:val="00130CA9"/>
    <w:rsid w:val="00132A0E"/>
    <w:rsid w:val="00175B35"/>
    <w:rsid w:val="00187FF5"/>
    <w:rsid w:val="001F03F2"/>
    <w:rsid w:val="001F253E"/>
    <w:rsid w:val="001F27DB"/>
    <w:rsid w:val="001F27EF"/>
    <w:rsid w:val="00217C5C"/>
    <w:rsid w:val="00260E7E"/>
    <w:rsid w:val="00333235"/>
    <w:rsid w:val="003367F1"/>
    <w:rsid w:val="00375FF0"/>
    <w:rsid w:val="00464567"/>
    <w:rsid w:val="004C50E1"/>
    <w:rsid w:val="004D1DB6"/>
    <w:rsid w:val="004F5AFF"/>
    <w:rsid w:val="005002A0"/>
    <w:rsid w:val="005046EA"/>
    <w:rsid w:val="00526581"/>
    <w:rsid w:val="005467AF"/>
    <w:rsid w:val="005F4752"/>
    <w:rsid w:val="00690ED2"/>
    <w:rsid w:val="00692DB0"/>
    <w:rsid w:val="006B197A"/>
    <w:rsid w:val="006D0F21"/>
    <w:rsid w:val="006E53D1"/>
    <w:rsid w:val="00726101"/>
    <w:rsid w:val="00773088"/>
    <w:rsid w:val="00826263"/>
    <w:rsid w:val="0085092C"/>
    <w:rsid w:val="008A01D6"/>
    <w:rsid w:val="00920900"/>
    <w:rsid w:val="0095324D"/>
    <w:rsid w:val="009B3B25"/>
    <w:rsid w:val="009C5B09"/>
    <w:rsid w:val="00A00C55"/>
    <w:rsid w:val="00A16FA6"/>
    <w:rsid w:val="00A33F8F"/>
    <w:rsid w:val="00A37373"/>
    <w:rsid w:val="00AC4B45"/>
    <w:rsid w:val="00AC67D6"/>
    <w:rsid w:val="00B431F7"/>
    <w:rsid w:val="00C30F72"/>
    <w:rsid w:val="00CA0514"/>
    <w:rsid w:val="00CA59DA"/>
    <w:rsid w:val="00CC2767"/>
    <w:rsid w:val="00D06F80"/>
    <w:rsid w:val="00D409B3"/>
    <w:rsid w:val="00D62871"/>
    <w:rsid w:val="00E25B56"/>
    <w:rsid w:val="00E6059F"/>
    <w:rsid w:val="00F17E09"/>
    <w:rsid w:val="00FE62D6"/>
    <w:rsid w:val="00FE6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DC1E6"/>
  <w15:chartTrackingRefBased/>
  <w15:docId w15:val="{0901D1F6-D106-49CC-8822-CCF92F5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5C"/>
    <w:pPr>
      <w:spacing w:line="278"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90ED2"/>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90ED2"/>
  </w:style>
  <w:style w:type="paragraph" w:styleId="Subsol">
    <w:name w:val="footer"/>
    <w:basedOn w:val="Normal"/>
    <w:link w:val="SubsolCaracter"/>
    <w:uiPriority w:val="99"/>
    <w:unhideWhenUsed/>
    <w:rsid w:val="00690ED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90ED2"/>
  </w:style>
  <w:style w:type="paragraph" w:styleId="Listparagraf">
    <w:name w:val="List Paragraph"/>
    <w:basedOn w:val="Normal"/>
    <w:uiPriority w:val="34"/>
    <w:qFormat/>
    <w:rsid w:val="0021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9CC2-B06A-40BF-8122-4183808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3824</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Comsa</dc:creator>
  <cp:keywords/>
  <dc:description/>
  <cp:lastModifiedBy>Steluta Enache</cp:lastModifiedBy>
  <cp:revision>2</cp:revision>
  <cp:lastPrinted>2024-10-07T11:33:00Z</cp:lastPrinted>
  <dcterms:created xsi:type="dcterms:W3CDTF">2024-10-15T07:56:00Z</dcterms:created>
  <dcterms:modified xsi:type="dcterms:W3CDTF">2024-10-15T07:56:00Z</dcterms:modified>
</cp:coreProperties>
</file>